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3C1C2">
      <w:pPr>
        <w:spacing w:after="60" w:line="520" w:lineRule="exact"/>
        <w:jc w:val="both"/>
        <w:rPr>
          <w:rFonts w:hint="default" w:eastAsia="黑体"/>
          <w:lang w:val="en-US" w:eastAsia="zh-CN"/>
        </w:rPr>
      </w:pPr>
      <w:r>
        <w:rPr>
          <w:rFonts w:ascii="黑体" w:hAnsi="黑体" w:eastAsia="黑体"/>
          <w:b/>
          <w:color w:val="000000"/>
          <w:sz w:val="28"/>
        </w:rPr>
        <w:t>附一：</w:t>
      </w:r>
      <w:bookmarkStart w:id="0" w:name="_GoBack"/>
      <w:r>
        <w:rPr>
          <w:rFonts w:ascii="黑体" w:hAnsi="黑体" w:eastAsia="黑体"/>
          <w:b/>
          <w:color w:val="000000"/>
          <w:sz w:val="28"/>
        </w:rPr>
        <w:t>首批榜单·</w:t>
      </w:r>
      <w:r>
        <w:rPr>
          <w:rFonts w:hint="eastAsia" w:ascii="黑体" w:hAnsi="黑体" w:eastAsia="黑体"/>
          <w:b/>
          <w:color w:val="000000"/>
          <w:sz w:val="28"/>
          <w:lang w:val="en-US" w:eastAsia="zh-CN"/>
        </w:rPr>
        <w:t>安徽岸念农业科技有限公司</w:t>
      </w:r>
    </w:p>
    <w:bookmarkEnd w:id="0"/>
    <w:p w14:paraId="460DDFCA">
      <w:pPr>
        <w:spacing w:after="120" w:line="480" w:lineRule="exact"/>
        <w:ind w:firstLine="560"/>
        <w:jc w:val="both"/>
      </w:pPr>
      <w:r>
        <w:rPr>
          <w:rFonts w:ascii="FangSong_GB2312" w:hAnsi="FangSong_GB2312" w:eastAsia="仿宋_GB2312"/>
          <w:b w:val="0"/>
          <w:color w:val="000000"/>
          <w:sz w:val="28"/>
        </w:rPr>
        <w:t>以下为首批榜单，其余企业榜单陆续发布。有意揭榜的团队可直接按本榜单方向准备申报。</w:t>
      </w:r>
    </w:p>
    <w:p w14:paraId="18D3FE6A">
      <w:pPr>
        <w:spacing w:after="60" w:line="440" w:lineRule="exact"/>
        <w:jc w:val="both"/>
      </w:pPr>
      <w:r>
        <w:rPr>
          <w:rFonts w:ascii="黑体" w:hAnsi="黑体" w:eastAsia="黑体"/>
          <w:b/>
          <w:color w:val="000000"/>
          <w:sz w:val="24"/>
        </w:rPr>
        <w:t>（一）企业简介</w:t>
      </w:r>
    </w:p>
    <w:p w14:paraId="21D05B67">
      <w:pPr>
        <w:spacing w:after="0" w:line="440" w:lineRule="exact"/>
        <w:ind w:firstLine="480"/>
        <w:jc w:val="both"/>
      </w:pPr>
      <w:r>
        <w:rPr>
          <w:rFonts w:ascii="FangSong_GB2312" w:hAnsi="FangSong_GB2312" w:eastAsia="仿宋_GB2312"/>
          <w:b w:val="0"/>
          <w:color w:val="000000"/>
          <w:sz w:val="24"/>
        </w:rPr>
        <w:t>安徽岸念农业科技有限公司</w:t>
      </w:r>
      <w:r>
        <w:rPr>
          <w:rFonts w:hint="eastAsia" w:ascii="FangSong_GB2312" w:hAnsi="FangSong_GB2312" w:eastAsia="仿宋_GB2312"/>
          <w:b w:val="0"/>
          <w:color w:val="000000"/>
          <w:sz w:val="24"/>
          <w:lang w:eastAsia="zh-CN"/>
        </w:rPr>
        <w:t>（</w:t>
      </w:r>
      <w:r>
        <w:rPr>
          <w:rFonts w:hint="eastAsia" w:ascii="FangSong_GB2312" w:hAnsi="FangSong_GB2312" w:eastAsia="仿宋_GB2312"/>
          <w:b w:val="0"/>
          <w:color w:val="000000"/>
          <w:sz w:val="24"/>
          <w:lang w:val="en-US" w:eastAsia="zh-CN"/>
        </w:rPr>
        <w:t>以下简称该公司</w:t>
      </w:r>
      <w:r>
        <w:rPr>
          <w:rFonts w:hint="eastAsia" w:ascii="FangSong_GB2312" w:hAnsi="FangSong_GB2312" w:eastAsia="仿宋_GB2312"/>
          <w:b w:val="0"/>
          <w:color w:val="000000"/>
          <w:sz w:val="24"/>
          <w:lang w:eastAsia="zh-CN"/>
        </w:rPr>
        <w:t>）</w:t>
      </w:r>
      <w:r>
        <w:rPr>
          <w:rFonts w:ascii="FangSong_GB2312" w:hAnsi="FangSong_GB2312" w:eastAsia="仿宋_GB2312"/>
          <w:b w:val="0"/>
          <w:color w:val="000000"/>
          <w:sz w:val="24"/>
        </w:rPr>
        <w:t>成立于2017年7月，是一家以南瓜、薯类等特色农产品种植、加工与销售为主业的农业科技企业。公司核心业务是面向全国多个省市的盒马、永辉门店</w:t>
      </w:r>
      <w:r>
        <w:rPr>
          <w:rFonts w:hint="eastAsia" w:ascii="FangSong_GB2312" w:hAnsi="FangSong_GB2312" w:eastAsia="仿宋_GB2312"/>
          <w:b w:val="0"/>
          <w:color w:val="000000"/>
          <w:sz w:val="24"/>
          <w:lang w:val="en-US" w:eastAsia="zh-CN"/>
        </w:rPr>
        <w:t>供应贝贝南瓜及薯类</w:t>
      </w:r>
      <w:r>
        <w:rPr>
          <w:rFonts w:ascii="FangSong_GB2312" w:hAnsi="FangSong_GB2312" w:eastAsia="仿宋_GB2312"/>
          <w:b w:val="0"/>
          <w:color w:val="000000"/>
          <w:sz w:val="24"/>
        </w:rPr>
        <w:t>。学生直播间所带的货</w:t>
      </w:r>
      <w:r>
        <w:rPr>
          <w:rFonts w:hint="eastAsia" w:ascii="FangSong_GB2312" w:hAnsi="FangSong_GB2312" w:eastAsia="仿宋_GB2312"/>
          <w:b w:val="0"/>
          <w:color w:val="000000"/>
          <w:sz w:val="24"/>
          <w:lang w:val="en-US" w:eastAsia="zh-CN"/>
        </w:rPr>
        <w:t>品</w:t>
      </w:r>
      <w:r>
        <w:rPr>
          <w:rFonts w:ascii="FangSong_GB2312" w:hAnsi="FangSong_GB2312" w:eastAsia="仿宋_GB2312"/>
          <w:b w:val="0"/>
          <w:color w:val="000000"/>
          <w:sz w:val="24"/>
        </w:rPr>
        <w:t>与商超同标准、同货源，货源稳定、品质可控。</w:t>
      </w:r>
    </w:p>
    <w:p w14:paraId="6938C6BA">
      <w:pPr>
        <w:spacing w:after="0" w:line="440" w:lineRule="exact"/>
        <w:ind w:firstLine="480"/>
        <w:jc w:val="both"/>
      </w:pPr>
      <w:r>
        <w:rPr>
          <w:rFonts w:hint="eastAsia" w:ascii="FangSong_GB2312" w:hAnsi="FangSong_GB2312" w:eastAsia="仿宋_GB2312"/>
          <w:b w:val="0"/>
          <w:color w:val="000000"/>
          <w:sz w:val="24"/>
          <w:lang w:val="en-US" w:eastAsia="zh-CN"/>
        </w:rPr>
        <w:t>该</w:t>
      </w:r>
      <w:r>
        <w:rPr>
          <w:rFonts w:ascii="FangSong_GB2312" w:hAnsi="FangSong_GB2312" w:eastAsia="仿宋_GB2312"/>
          <w:b w:val="0"/>
          <w:color w:val="000000"/>
          <w:sz w:val="24"/>
        </w:rPr>
        <w:t>公司于2024年被认定为高新技术企业，2025年获评科技型中小企业、创新型中小企业；主推的贝贝南瓜、奶油南瓜已通过中国绿色食品发展中心绿色食品认证，并在蔬菜种植设施、土壤成分检测与修复调节等方面拥有多项实用新型专利与软件著作权。</w:t>
      </w:r>
    </w:p>
    <w:p w14:paraId="5C2C4EA3">
      <w:pPr>
        <w:spacing w:after="0" w:line="440" w:lineRule="exact"/>
        <w:ind w:firstLine="480"/>
        <w:jc w:val="both"/>
      </w:pPr>
      <w:r>
        <w:rPr>
          <w:rFonts w:ascii="FangSong_GB2312" w:hAnsi="FangSong_GB2312" w:eastAsia="仿宋_GB2312"/>
          <w:b w:val="0"/>
          <w:color w:val="000000"/>
          <w:sz w:val="24"/>
        </w:rPr>
        <w:t>在本次校企合作中，</w:t>
      </w:r>
      <w:r>
        <w:rPr>
          <w:rFonts w:hint="eastAsia" w:ascii="FangSong_GB2312" w:hAnsi="FangSong_GB2312" w:eastAsia="仿宋_GB2312"/>
          <w:b w:val="0"/>
          <w:color w:val="000000"/>
          <w:sz w:val="24"/>
          <w:lang w:val="en-US" w:eastAsia="zh-CN"/>
        </w:rPr>
        <w:t>该</w:t>
      </w:r>
      <w:r>
        <w:rPr>
          <w:rFonts w:ascii="FangSong_GB2312" w:hAnsi="FangSong_GB2312" w:eastAsia="仿宋_GB2312"/>
          <w:b w:val="0"/>
          <w:color w:val="000000"/>
          <w:sz w:val="24"/>
        </w:rPr>
        <w:t>公司负责货源供应、品控、仓储发货与客服售后全链路，并为学生团队提供直播选品与培训。</w:t>
      </w:r>
    </w:p>
    <w:p w14:paraId="3DC9B5B6">
      <w:pPr>
        <w:spacing w:after="0" w:line="240" w:lineRule="exact"/>
        <w:jc w:val="both"/>
      </w:pPr>
    </w:p>
    <w:p w14:paraId="577670B5">
      <w:pPr>
        <w:spacing w:after="60" w:line="440" w:lineRule="exact"/>
        <w:jc w:val="both"/>
      </w:pPr>
      <w:r>
        <w:rPr>
          <w:rFonts w:ascii="黑体" w:hAnsi="黑体" w:eastAsia="黑体"/>
          <w:b/>
          <w:color w:val="000000"/>
          <w:sz w:val="24"/>
        </w:rPr>
        <w:t>（二）榜单内容</w:t>
      </w:r>
    </w:p>
    <w:tbl>
      <w:tblPr>
        <w:tblStyle w:val="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22"/>
        <w:gridCol w:w="4422"/>
      </w:tblGrid>
      <w:tr w14:paraId="4E189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22" w:type="dxa"/>
            <w:shd w:val="clear" w:color="auto" w:fill="EDEDED"/>
            <w:vAlign w:val="center"/>
          </w:tcPr>
          <w:p w14:paraId="7409B64F">
            <w:pPr>
              <w:spacing w:after="0" w:line="330" w:lineRule="exact"/>
              <w:jc w:val="center"/>
            </w:pPr>
            <w:r>
              <w:rPr>
                <w:rFonts w:ascii="FangSong_GB2312" w:hAnsi="FangSong_GB2312" w:eastAsia="仿宋_GB2312"/>
                <w:b/>
                <w:color w:val="000000"/>
                <w:sz w:val="21"/>
              </w:rPr>
              <w:t>榜单要素</w:t>
            </w:r>
          </w:p>
        </w:tc>
        <w:tc>
          <w:tcPr>
            <w:tcW w:w="4422" w:type="dxa"/>
            <w:shd w:val="clear" w:color="auto" w:fill="EDEDED"/>
            <w:vAlign w:val="center"/>
          </w:tcPr>
          <w:p w14:paraId="6F927C02">
            <w:pPr>
              <w:spacing w:after="0" w:line="330" w:lineRule="exact"/>
              <w:jc w:val="left"/>
            </w:pPr>
            <w:r>
              <w:rPr>
                <w:rFonts w:ascii="FangSong_GB2312" w:hAnsi="FangSong_GB2312" w:eastAsia="仿宋_GB2312"/>
                <w:b/>
                <w:color w:val="000000"/>
                <w:sz w:val="21"/>
              </w:rPr>
              <w:t>内容</w:t>
            </w:r>
          </w:p>
        </w:tc>
      </w:tr>
      <w:tr w14:paraId="510FB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22" w:type="dxa"/>
            <w:vAlign w:val="center"/>
          </w:tcPr>
          <w:p w14:paraId="606B1515">
            <w:pPr>
              <w:spacing w:after="0" w:line="330" w:lineRule="exact"/>
              <w:jc w:val="center"/>
            </w:pPr>
            <w:r>
              <w:rPr>
                <w:rFonts w:ascii="FangSong_GB2312" w:hAnsi="FangSong_GB2312" w:eastAsia="仿宋_GB2312"/>
                <w:b w:val="0"/>
                <w:color w:val="000000"/>
                <w:sz w:val="21"/>
              </w:rPr>
              <w:t>发布企业</w:t>
            </w:r>
          </w:p>
        </w:tc>
        <w:tc>
          <w:tcPr>
            <w:tcW w:w="4422" w:type="dxa"/>
            <w:vAlign w:val="center"/>
          </w:tcPr>
          <w:p w14:paraId="3A16C14D">
            <w:pPr>
              <w:spacing w:after="0" w:line="330" w:lineRule="exact"/>
              <w:jc w:val="left"/>
            </w:pPr>
            <w:r>
              <w:rPr>
                <w:rFonts w:ascii="FangSong_GB2312" w:hAnsi="FangSong_GB2312" w:eastAsia="仿宋_GB2312"/>
                <w:b w:val="0"/>
                <w:color w:val="000000"/>
                <w:sz w:val="21"/>
              </w:rPr>
              <w:t>安徽岸念农业科技有限公司</w:t>
            </w:r>
          </w:p>
        </w:tc>
      </w:tr>
      <w:tr w14:paraId="7FAAE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22" w:type="dxa"/>
            <w:vAlign w:val="center"/>
          </w:tcPr>
          <w:p w14:paraId="1EBA6137">
            <w:pPr>
              <w:spacing w:after="0" w:line="330" w:lineRule="exact"/>
              <w:jc w:val="center"/>
            </w:pPr>
            <w:r>
              <w:rPr>
                <w:rFonts w:ascii="FangSong_GB2312" w:hAnsi="FangSong_GB2312" w:eastAsia="仿宋_GB2312"/>
                <w:b w:val="0"/>
                <w:color w:val="000000"/>
                <w:sz w:val="21"/>
              </w:rPr>
              <w:t>任务方向</w:t>
            </w:r>
          </w:p>
        </w:tc>
        <w:tc>
          <w:tcPr>
            <w:tcW w:w="4422" w:type="dxa"/>
            <w:vAlign w:val="center"/>
          </w:tcPr>
          <w:p w14:paraId="05FF4E5D">
            <w:pPr>
              <w:spacing w:after="0" w:line="330" w:lineRule="exact"/>
              <w:jc w:val="left"/>
            </w:pPr>
            <w:r>
              <w:rPr>
                <w:rFonts w:ascii="FangSong_GB2312" w:hAnsi="FangSong_GB2312" w:eastAsia="仿宋_GB2312"/>
                <w:b w:val="0"/>
                <w:color w:val="000000"/>
                <w:sz w:val="21"/>
              </w:rPr>
              <w:t>农产品直播带货</w:t>
            </w:r>
          </w:p>
        </w:tc>
      </w:tr>
      <w:tr w14:paraId="1AE83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22" w:type="dxa"/>
            <w:vAlign w:val="center"/>
          </w:tcPr>
          <w:p w14:paraId="04A495A6">
            <w:pPr>
              <w:spacing w:after="0" w:line="330" w:lineRule="exact"/>
              <w:jc w:val="center"/>
            </w:pPr>
            <w:r>
              <w:rPr>
                <w:rFonts w:ascii="FangSong_GB2312" w:hAnsi="FangSong_GB2312" w:eastAsia="仿宋_GB2312"/>
                <w:b w:val="0"/>
                <w:color w:val="000000"/>
                <w:sz w:val="21"/>
              </w:rPr>
              <w:t>主推产品</w:t>
            </w:r>
          </w:p>
        </w:tc>
        <w:tc>
          <w:tcPr>
            <w:tcW w:w="4422" w:type="dxa"/>
            <w:vAlign w:val="center"/>
          </w:tcPr>
          <w:p w14:paraId="61D8E9EB">
            <w:pPr>
              <w:spacing w:after="0" w:line="330" w:lineRule="exact"/>
              <w:jc w:val="left"/>
            </w:pPr>
            <w:r>
              <w:rPr>
                <w:rFonts w:ascii="FangSong_GB2312" w:hAnsi="FangSong_GB2312" w:eastAsia="仿宋_GB2312"/>
                <w:b w:val="0"/>
                <w:color w:val="000000"/>
                <w:sz w:val="21"/>
              </w:rPr>
              <w:t>贝贝南瓜、榴莲蜜薯、烟薯25号</w:t>
            </w:r>
          </w:p>
        </w:tc>
      </w:tr>
      <w:tr w14:paraId="78FD3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22" w:type="dxa"/>
            <w:vAlign w:val="center"/>
          </w:tcPr>
          <w:p w14:paraId="790A37A5">
            <w:pPr>
              <w:spacing w:after="0" w:line="330" w:lineRule="exact"/>
              <w:jc w:val="center"/>
            </w:pPr>
            <w:r>
              <w:rPr>
                <w:rFonts w:ascii="FangSong_GB2312" w:hAnsi="FangSong_GB2312" w:eastAsia="仿宋_GB2312"/>
                <w:b w:val="0"/>
                <w:color w:val="000000"/>
                <w:sz w:val="21"/>
              </w:rPr>
              <w:t>学生承担</w:t>
            </w:r>
          </w:p>
        </w:tc>
        <w:tc>
          <w:tcPr>
            <w:tcW w:w="4422" w:type="dxa"/>
            <w:vAlign w:val="center"/>
          </w:tcPr>
          <w:p w14:paraId="2B017A3B">
            <w:pPr>
              <w:spacing w:after="0" w:line="330" w:lineRule="exact"/>
              <w:jc w:val="left"/>
            </w:pPr>
            <w:r>
              <w:rPr>
                <w:rFonts w:ascii="FangSong_GB2312" w:hAnsi="FangSong_GB2312" w:eastAsia="仿宋_GB2312"/>
                <w:b w:val="0"/>
                <w:color w:val="000000"/>
                <w:sz w:val="21"/>
              </w:rPr>
              <w:t>在中心直播间开展农产品带货直播</w:t>
            </w:r>
          </w:p>
        </w:tc>
      </w:tr>
      <w:tr w14:paraId="445F3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22" w:type="dxa"/>
            <w:vAlign w:val="center"/>
          </w:tcPr>
          <w:p w14:paraId="5EB5A555">
            <w:pPr>
              <w:spacing w:after="0" w:line="330" w:lineRule="exact"/>
              <w:jc w:val="center"/>
            </w:pPr>
            <w:r>
              <w:rPr>
                <w:rFonts w:ascii="FangSong_GB2312" w:hAnsi="FangSong_GB2312" w:eastAsia="仿宋_GB2312"/>
                <w:b w:val="0"/>
                <w:color w:val="000000"/>
                <w:sz w:val="21"/>
              </w:rPr>
              <w:t>企业支持</w:t>
            </w:r>
          </w:p>
        </w:tc>
        <w:tc>
          <w:tcPr>
            <w:tcW w:w="4422" w:type="dxa"/>
            <w:vAlign w:val="center"/>
          </w:tcPr>
          <w:p w14:paraId="180327B7">
            <w:pPr>
              <w:spacing w:after="0" w:line="330" w:lineRule="exact"/>
              <w:jc w:val="left"/>
            </w:pPr>
            <w:r>
              <w:rPr>
                <w:rFonts w:ascii="FangSong_GB2312" w:hAnsi="FangSong_GB2312" w:eastAsia="仿宋_GB2312"/>
                <w:b w:val="0"/>
                <w:color w:val="000000"/>
                <w:sz w:val="21"/>
              </w:rPr>
              <w:t>优质农产品直供基地、品控稳定；提供直播选品与卖点培训；负责仓储发货、客服售后全链路</w:t>
            </w:r>
          </w:p>
        </w:tc>
      </w:tr>
      <w:tr w14:paraId="0BAA9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22" w:type="dxa"/>
            <w:vAlign w:val="center"/>
          </w:tcPr>
          <w:p w14:paraId="477702EF">
            <w:pPr>
              <w:spacing w:after="0" w:line="330" w:lineRule="exact"/>
              <w:jc w:val="center"/>
            </w:pPr>
            <w:r>
              <w:rPr>
                <w:rFonts w:ascii="FangSong_GB2312" w:hAnsi="FangSong_GB2312" w:eastAsia="仿宋_GB2312"/>
                <w:b w:val="0"/>
                <w:color w:val="000000"/>
                <w:sz w:val="21"/>
              </w:rPr>
              <w:t>学生投入</w:t>
            </w:r>
          </w:p>
        </w:tc>
        <w:tc>
          <w:tcPr>
            <w:tcW w:w="4422" w:type="dxa"/>
            <w:vAlign w:val="center"/>
          </w:tcPr>
          <w:p w14:paraId="1F17AE55">
            <w:pPr>
              <w:spacing w:after="0" w:line="330" w:lineRule="exact"/>
              <w:jc w:val="left"/>
            </w:pPr>
            <w:r>
              <w:rPr>
                <w:rFonts w:ascii="FangSong_GB2312" w:hAnsi="FangSong_GB2312" w:eastAsia="仿宋_GB2312"/>
                <w:b w:val="0"/>
                <w:color w:val="000000"/>
                <w:sz w:val="21"/>
              </w:rPr>
              <w:t>零成本启动，无需囤货、无需垫资</w:t>
            </w:r>
          </w:p>
        </w:tc>
      </w:tr>
      <w:tr w14:paraId="0D64F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22" w:type="dxa"/>
            <w:vAlign w:val="center"/>
          </w:tcPr>
          <w:p w14:paraId="3BB71ED6">
            <w:pPr>
              <w:spacing w:after="0" w:line="330" w:lineRule="exact"/>
              <w:jc w:val="center"/>
            </w:pPr>
            <w:r>
              <w:rPr>
                <w:rFonts w:ascii="FangSong_GB2312" w:hAnsi="FangSong_GB2312" w:eastAsia="仿宋_GB2312"/>
                <w:b w:val="0"/>
                <w:color w:val="000000"/>
                <w:sz w:val="21"/>
              </w:rPr>
              <w:t>佣金结算</w:t>
            </w:r>
          </w:p>
        </w:tc>
        <w:tc>
          <w:tcPr>
            <w:tcW w:w="4422" w:type="dxa"/>
            <w:vAlign w:val="center"/>
          </w:tcPr>
          <w:p w14:paraId="20D63592">
            <w:pPr>
              <w:spacing w:after="0" w:line="330" w:lineRule="exact"/>
              <w:jc w:val="left"/>
            </w:pPr>
            <w:r>
              <w:rPr>
                <w:rFonts w:ascii="FangSong_GB2312" w:hAnsi="FangSong_GB2312" w:eastAsia="仿宋_GB2312"/>
                <w:b w:val="0"/>
                <w:color w:val="000000"/>
                <w:sz w:val="21"/>
              </w:rPr>
              <w:t>按月度累计销售额阶梯结算：初始5%；满1万元8%；满3万元10%；满10万元12%；满30万元15%。达到档位即按该档位比例结算全部销售额佣金，次月15日结算</w:t>
            </w:r>
          </w:p>
        </w:tc>
      </w:tr>
      <w:tr w14:paraId="6B1BE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22" w:type="dxa"/>
            <w:vAlign w:val="center"/>
          </w:tcPr>
          <w:p w14:paraId="2CA1E0A0">
            <w:pPr>
              <w:spacing w:after="0" w:line="330" w:lineRule="exact"/>
              <w:jc w:val="center"/>
            </w:pPr>
            <w:r>
              <w:rPr>
                <w:rFonts w:ascii="FangSong_GB2312" w:hAnsi="FangSong_GB2312" w:eastAsia="仿宋_GB2312"/>
                <w:b w:val="0"/>
                <w:color w:val="000000"/>
                <w:sz w:val="21"/>
              </w:rPr>
              <w:t>认领状态</w:t>
            </w:r>
          </w:p>
        </w:tc>
        <w:tc>
          <w:tcPr>
            <w:tcW w:w="4422" w:type="dxa"/>
            <w:vAlign w:val="center"/>
          </w:tcPr>
          <w:p w14:paraId="429C37B7">
            <w:pPr>
              <w:spacing w:after="0" w:line="330" w:lineRule="exact"/>
              <w:jc w:val="left"/>
            </w:pPr>
            <w:r>
              <w:rPr>
                <w:rFonts w:ascii="FangSong_GB2312" w:hAnsi="FangSong_GB2312" w:eastAsia="仿宋_GB2312"/>
                <w:b w:val="0"/>
                <w:color w:val="000000"/>
                <w:sz w:val="21"/>
              </w:rPr>
              <w:t>待认领</w:t>
            </w:r>
          </w:p>
        </w:tc>
      </w:tr>
    </w:tbl>
    <w:p w14:paraId="4EDBE36B">
      <w:pPr>
        <w:spacing w:after="0" w:line="20" w:lineRule="exact"/>
      </w:pPr>
      <w:r>
        <w:br w:type="page"/>
      </w:r>
    </w:p>
    <w:p w14:paraId="071027F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0D46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2026-09-29T12:06:15Z</dcterms:created>
  <dc:creator>Administrator</dc:creator>
  <cp:lastModifiedBy>Dick</cp:lastModifiedBy>
  <dcterms:modified xsi:type="dcterms:W3CDTF">2026-09-29T12:06:27Z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eyJoZGlkIjoiOTE5YTU0NWI1MzVlZjlmOGQ0ZjY3ZjFmMDExYWUxMzYiLCJ1c2VySWQiOiIyNzE2OTg1MjkifQ==</vt:lpwstr>
  </property>
  <property fmtid="{D5CDD505-2E9C-101B-9397-08002B2CF9AE}" pid="4" name="ICV">
    <vt:lpwstr>F74AB86366114FF899A07B82CA37DE76_12</vt:lpwstr>
  </property>
</Properties>
</file>